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CB29" w14:textId="061F35A0" w:rsidR="00844E69" w:rsidRPr="00844E69" w:rsidRDefault="00844E69" w:rsidP="00844E69">
      <w:p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br/>
        <w:t>Postanowienie Sądu Najwyższego z 11 marca 2026 r., sygn. I CSK 302/25.</w:t>
      </w:r>
    </w:p>
    <w:p w14:paraId="0B5F80F4" w14:textId="77777777" w:rsidR="00845D3D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  <w:b/>
          <w:bCs/>
        </w:rPr>
        <w:t>Przedmiot:</w:t>
      </w:r>
      <w:r w:rsidRPr="00844E69">
        <w:rPr>
          <w:rFonts w:ascii="Times New Roman" w:hAnsi="Times New Roman" w:cs="Times New Roman"/>
        </w:rPr>
        <w:br/>
        <w:t>Sprawa dotyczyła pytania, czy p</w:t>
      </w:r>
      <w:r w:rsidR="00D346F6">
        <w:rPr>
          <w:rFonts w:ascii="Times New Roman" w:hAnsi="Times New Roman" w:cs="Times New Roman"/>
        </w:rPr>
        <w:t>ostępowanie cywilne</w:t>
      </w:r>
      <w:r w:rsidRPr="00844E69">
        <w:rPr>
          <w:rFonts w:ascii="Times New Roman" w:hAnsi="Times New Roman" w:cs="Times New Roman"/>
        </w:rPr>
        <w:t xml:space="preserve"> wytoczon</w:t>
      </w:r>
      <w:r w:rsidR="00D346F6">
        <w:rPr>
          <w:rFonts w:ascii="Times New Roman" w:hAnsi="Times New Roman" w:cs="Times New Roman"/>
        </w:rPr>
        <w:t>e</w:t>
      </w:r>
      <w:r w:rsidRPr="00844E69">
        <w:rPr>
          <w:rFonts w:ascii="Times New Roman" w:hAnsi="Times New Roman" w:cs="Times New Roman"/>
        </w:rPr>
        <w:t xml:space="preserve"> przez kredytobiorców przeciwko bankowi</w:t>
      </w:r>
      <w:r w:rsidR="00D346F6">
        <w:rPr>
          <w:rFonts w:ascii="Times New Roman" w:hAnsi="Times New Roman" w:cs="Times New Roman"/>
        </w:rPr>
        <w:t xml:space="preserve"> (w toku postępowania ogłosił upadłość)</w:t>
      </w:r>
      <w:r w:rsidRPr="00844E69">
        <w:rPr>
          <w:rFonts w:ascii="Times New Roman" w:hAnsi="Times New Roman" w:cs="Times New Roman"/>
        </w:rPr>
        <w:t xml:space="preserve"> o ustalenie nieistnienia stosunku prawnego z umowy kredytu (czyli de facto o stwierdzenie, że umowa nie wiąże stron) jest sprawą o wierzytelność, która powinna być dochodzona wyłącznie w postępowaniu upadłościowym przez zgłoszenie do masy upadłości.</w:t>
      </w:r>
    </w:p>
    <w:p w14:paraId="359FB857" w14:textId="6CF84442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 xml:space="preserve">Innymi słowy: chodziło o to, czy taki </w:t>
      </w:r>
      <w:r>
        <w:rPr>
          <w:rFonts w:ascii="Times New Roman" w:hAnsi="Times New Roman" w:cs="Times New Roman"/>
        </w:rPr>
        <w:t>postępowanie sądowe</w:t>
      </w:r>
      <w:r w:rsidRPr="00844E69">
        <w:rPr>
          <w:rFonts w:ascii="Times New Roman" w:hAnsi="Times New Roman" w:cs="Times New Roman"/>
        </w:rPr>
        <w:t xml:space="preserve"> powin</w:t>
      </w:r>
      <w:r>
        <w:rPr>
          <w:rFonts w:ascii="Times New Roman" w:hAnsi="Times New Roman" w:cs="Times New Roman"/>
        </w:rPr>
        <w:t xml:space="preserve">no </w:t>
      </w:r>
      <w:r w:rsidRPr="00844E69">
        <w:rPr>
          <w:rFonts w:ascii="Times New Roman" w:hAnsi="Times New Roman" w:cs="Times New Roman"/>
        </w:rPr>
        <w:t>pozostać zawieszon</w:t>
      </w:r>
      <w:r>
        <w:rPr>
          <w:rFonts w:ascii="Times New Roman" w:hAnsi="Times New Roman" w:cs="Times New Roman"/>
        </w:rPr>
        <w:t>e</w:t>
      </w:r>
      <w:r w:rsidRPr="00844E69">
        <w:rPr>
          <w:rFonts w:ascii="Times New Roman" w:hAnsi="Times New Roman" w:cs="Times New Roman"/>
        </w:rPr>
        <w:t xml:space="preserve"> do czasu zakończenia procedury upadłościowej dotyczącej zgłoszenia wierzytelności.</w:t>
      </w:r>
    </w:p>
    <w:p w14:paraId="4B6FB048" w14:textId="328278DC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  <w:b/>
          <w:bCs/>
        </w:rPr>
        <w:t>Rozstrzygnięcie</w:t>
      </w:r>
      <w:r w:rsidRPr="00844E69">
        <w:rPr>
          <w:rFonts w:ascii="Times New Roman" w:hAnsi="Times New Roman" w:cs="Times New Roman"/>
        </w:rPr>
        <w:br/>
        <w:t>Sąd Najwyższy odmówił przyjęcia skargi kasacyjnej do rozpoznania.</w:t>
      </w:r>
      <w:r w:rsidRPr="00844E69">
        <w:rPr>
          <w:rFonts w:ascii="Times New Roman" w:hAnsi="Times New Roman" w:cs="Times New Roman"/>
        </w:rPr>
        <w:br/>
        <w:t>Uznał, że przedstawione przez syndyka zagadnienie prawne nie jest nowe, ponieważ zostało już rozstrzygnięte wcześniej w uchwale SN z 19 września 2024 r., III CZP 5/24.</w:t>
      </w:r>
    </w:p>
    <w:p w14:paraId="16CA895C" w14:textId="77777777" w:rsidR="00844E69" w:rsidRPr="00844E69" w:rsidRDefault="00844E69" w:rsidP="00844E69">
      <w:p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SN potwierdził tym samym, że:</w:t>
      </w:r>
    </w:p>
    <w:p w14:paraId="0558469E" w14:textId="4E896881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 xml:space="preserve">powództwo o ustalenie nieistnienia stosunku prawnego z umowy kredytu przeciwko bankowi w upadłości nie jest sprawą o wierzytelność podlegającą zgłoszeniu do masy upadłości w rozumieniu art. 145 ust. 1 Prawa upadłościowego, takie postępowanie może być podjęte po ustaleniu osoby syndyka, który wchodzi do sprawy zamiast upadłego banku. </w:t>
      </w:r>
    </w:p>
    <w:p w14:paraId="2699DADD" w14:textId="68A7AFFE" w:rsidR="00844E69" w:rsidRPr="00844E69" w:rsidRDefault="00844E69" w:rsidP="00844E69">
      <w:p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  <w:b/>
          <w:bCs/>
        </w:rPr>
        <w:t>Uzasadnienie</w:t>
      </w:r>
      <w:r w:rsidRPr="00844E69">
        <w:rPr>
          <w:rFonts w:ascii="Times New Roman" w:hAnsi="Times New Roman" w:cs="Times New Roman"/>
        </w:rPr>
        <w:br/>
        <w:t>Sąd Najwyższy wskazał kilka argumentów:</w:t>
      </w:r>
    </w:p>
    <w:p w14:paraId="776E245A" w14:textId="77777777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Po pierwsze, przesłanka przyjęcia skargi kasacyjnej z powodu „istotnego zagadnienia prawnego” albo potrzeby wykładni przepisów wymaga, by problem był rzeczywiście nowy i nierozstrzygnięty w orzecznictwie. W tej sprawie tak nie było, bo kwestia ta została już wyjaśniona w uchwale III CZP 5/24.</w:t>
      </w:r>
    </w:p>
    <w:p w14:paraId="57758941" w14:textId="77777777" w:rsidR="00844E69" w:rsidRPr="00844E69" w:rsidRDefault="00844E69" w:rsidP="00844E69">
      <w:p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Po drugie, SN wyraźnie odróżnił:</w:t>
      </w:r>
    </w:p>
    <w:p w14:paraId="531F667E" w14:textId="48486DF9" w:rsidR="00844E69" w:rsidRPr="00844E69" w:rsidRDefault="00844E69" w:rsidP="00844E6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sprawy o zasądzenie określonej kwoty lub świadczenia,</w:t>
      </w:r>
      <w:r w:rsidRPr="00844E69">
        <w:rPr>
          <w:rFonts w:ascii="Times New Roman" w:hAnsi="Times New Roman" w:cs="Times New Roman"/>
        </w:rPr>
        <w:br/>
        <w:t xml:space="preserve">od </w:t>
      </w:r>
    </w:p>
    <w:p w14:paraId="76ABCE7B" w14:textId="041796AB" w:rsidR="00844E69" w:rsidRPr="00844E69" w:rsidRDefault="00844E69" w:rsidP="00844E6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 xml:space="preserve">spraw o ustalenie istnienia albo nieistnienia stosunku prawnego na podstawie art. 189 k.p.c. </w:t>
      </w:r>
    </w:p>
    <w:p w14:paraId="381D354D" w14:textId="54D4BC8E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br/>
        <w:t>Art. 145 ust. 1 Prawa upadłościowego dotyczy tylko takich wierzytelności, które mogą być objęte procedurą zgłoszenia i ujęcia na liście wierzytelności w postępowaniu upadłościowym. Lista wierzytelności służy ustaleniu, komu i w jakiej wysokości przysługują roszczenia wobec upadłego, aby zaspokoić wierzycieli w ramach tzw. egzekucji generalnej (czyli wspólnego dochodzenia zaspokojenia wszystkich wierzycieli w jednym postępowaniu).</w:t>
      </w:r>
    </w:p>
    <w:p w14:paraId="5392A51C" w14:textId="77777777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lastRenderedPageBreak/>
        <w:t>Natomiast żądanie ustalenia, że umowa istnieje albo nie istnieje, nie ma odpowiednika w procedurze sporządzania listy wierzytelności. Postępowanie upadłościowe nie daje więc stronie realnego narzędzia do uzyskania takiego rozstrzygnięcia w miejsce procesu cywilnego.</w:t>
      </w:r>
    </w:p>
    <w:p w14:paraId="3BD510B8" w14:textId="77777777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Po trzecie, SN podkreślił, że rozszerzanie art. 145 ust. 1 pr. up. także na sprawy o ustalenie byłoby nieuzasadnione i mogłoby naruszać prawo do sądu. Gdyby takich spraw nie można było prowadzić przed sądem powszechnym, strona zostałaby pozbawiona efektywnej ochrony prawnej.</w:t>
      </w:r>
    </w:p>
    <w:p w14:paraId="77EF2BBF" w14:textId="77777777" w:rsidR="00844E69" w:rsidRPr="00844E69" w:rsidRDefault="00844E69" w:rsidP="00844E69">
      <w:p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Po czwarte, SN wyjaśnił różnicę między dwoma mechanizmami procesowymi:</w:t>
      </w:r>
    </w:p>
    <w:p w14:paraId="2D6E347A" w14:textId="77777777" w:rsidR="00844E69" w:rsidRPr="00844E69" w:rsidRDefault="00844E69" w:rsidP="00844E69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 xml:space="preserve">art. 174 § 1 pkt 4 k.p.c. i art. 180 § 1 pkt 5 lit. b k.p.c. regulują techniczny skutek ogłoszenia upadłości – postępowanie ulega zawieszeniu, a następnie jest podejmowane z udziałem syndyka, </w:t>
      </w:r>
    </w:p>
    <w:p w14:paraId="77DFE9FC" w14:textId="77777777" w:rsidR="00844E69" w:rsidRPr="00844E69" w:rsidRDefault="00844E69" w:rsidP="00844E69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 xml:space="preserve">art. 145 ust. 1 pr. up. wprowadza natomiast szczególną regułę tylko dla spraw o wierzytelności zgłaszane do masy upadłości, czyli nakazuje pierwszeństwo trybu upadłościowego przed dalszym prowadzeniem procesu cywilnego. </w:t>
      </w:r>
    </w:p>
    <w:p w14:paraId="64205531" w14:textId="77777777" w:rsidR="00844E69" w:rsidRPr="00844E69" w:rsidRDefault="00844E69" w:rsidP="00844E69">
      <w:pPr>
        <w:jc w:val="both"/>
        <w:rPr>
          <w:rFonts w:ascii="Times New Roman" w:hAnsi="Times New Roman" w:cs="Times New Roman"/>
        </w:rPr>
      </w:pPr>
      <w:r w:rsidRPr="00844E69">
        <w:rPr>
          <w:rFonts w:ascii="Times New Roman" w:hAnsi="Times New Roman" w:cs="Times New Roman"/>
        </w:rPr>
        <w:t>W tej sprawie należało więc zastosować zwykły skutek procesowy upadłości: zawiesić postępowanie i następnie je podjąć z udziałem syndyka, a nie blokować je do czasu wyczerpania trybu zgłoszenia wierzytelności.</w:t>
      </w:r>
    </w:p>
    <w:p w14:paraId="5C2C1036" w14:textId="2042C179" w:rsidR="000761EF" w:rsidRPr="00AC6C4D" w:rsidRDefault="00AC6C4D" w:rsidP="00193D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Komentarz PURE: </w:t>
      </w:r>
      <w:r>
        <w:rPr>
          <w:rFonts w:ascii="Times New Roman" w:hAnsi="Times New Roman" w:cs="Times New Roman"/>
        </w:rPr>
        <w:t xml:space="preserve">Przedstawione orzeczenie nie rozwiązuje jednak </w:t>
      </w:r>
      <w:r w:rsidR="002F6F48">
        <w:rPr>
          <w:rFonts w:ascii="Times New Roman" w:hAnsi="Times New Roman" w:cs="Times New Roman"/>
        </w:rPr>
        <w:t>problemu konkurencji postępowań o ustalenie nieważności umowy oraz zgłoszenia wierzytelności do masy. Trwające postępowania o ustalenie nieważności umowy i nawet jego podjęcie z udziałem syndyka po ogłoszeniu upadłości nie wyklucza konieczności zgłoszenia wierzytelności o zwrot nienależnie pobranych świadczeń (</w:t>
      </w:r>
      <w:r w:rsidR="002F6F48" w:rsidRPr="002F6F48">
        <w:rPr>
          <w:rFonts w:ascii="Times New Roman" w:hAnsi="Times New Roman" w:cs="Times New Roman"/>
        </w:rPr>
        <w:t>rat kapitałowo-odsetkowych, prowizji, opłat itp.</w:t>
      </w:r>
      <w:r w:rsidR="002F6F48">
        <w:rPr>
          <w:rFonts w:ascii="Times New Roman" w:hAnsi="Times New Roman" w:cs="Times New Roman"/>
        </w:rPr>
        <w:t>).</w:t>
      </w:r>
      <w:r w:rsidR="00193D79">
        <w:rPr>
          <w:rFonts w:ascii="Times New Roman" w:hAnsi="Times New Roman" w:cs="Times New Roman"/>
        </w:rPr>
        <w:t xml:space="preserve"> </w:t>
      </w:r>
      <w:r w:rsidR="005C63AE">
        <w:rPr>
          <w:rFonts w:ascii="Times New Roman" w:hAnsi="Times New Roman" w:cs="Times New Roman"/>
        </w:rPr>
        <w:t xml:space="preserve">Z drugiej strony jak wskazano w treści komentowanego orzeczenia w przypadku postępowania o ustalenie nieważności umowy nie jest postępowaniem dotyczącym wierzytelności podlegającej wpisowi na listę wierzytelności i nie jest objęte regulacją art. 145 ust. 1 prawa upadłościowego. </w:t>
      </w:r>
      <w:r w:rsidR="00193D79">
        <w:rPr>
          <w:rFonts w:ascii="Times New Roman" w:hAnsi="Times New Roman" w:cs="Times New Roman"/>
        </w:rPr>
        <w:t xml:space="preserve">Gdyby kredytobiorca zaniechał zgłoszenia wierzytelności mógłby narazić się na konsekwencje wynikające z art. 252 prawa upadłościowego. Wydaje się, że w przypadku ogłoszenia upadłości nie jest konieczne w pierwszej kolejności wydanie przez sąd wyroku ustalającego nieważność umowy </w:t>
      </w:r>
      <w:proofErr w:type="gramStart"/>
      <w:r w:rsidR="00193D79">
        <w:rPr>
          <w:rFonts w:ascii="Times New Roman" w:hAnsi="Times New Roman" w:cs="Times New Roman"/>
        </w:rPr>
        <w:t>kredytowej</w:t>
      </w:r>
      <w:proofErr w:type="gramEnd"/>
      <w:r w:rsidR="00193D79">
        <w:rPr>
          <w:rFonts w:ascii="Times New Roman" w:hAnsi="Times New Roman" w:cs="Times New Roman"/>
        </w:rPr>
        <w:t xml:space="preserve"> aby umożliwić zgłoszenie wierzytelności z tytułu nienależnie pobranych świadczeń. Co więcej w świetle aktualnego orzecznictwa TSUE wymagalność takich roszczeń powstaje z chwilą </w:t>
      </w:r>
      <w:r w:rsidR="00193D79" w:rsidRPr="00193D79">
        <w:rPr>
          <w:rFonts w:ascii="Times New Roman" w:hAnsi="Times New Roman" w:cs="Times New Roman"/>
        </w:rPr>
        <w:t>uzysk</w:t>
      </w:r>
      <w:r w:rsidR="00193D79">
        <w:rPr>
          <w:rFonts w:ascii="Times New Roman" w:hAnsi="Times New Roman" w:cs="Times New Roman"/>
        </w:rPr>
        <w:t>ania przez kredytobiorcę</w:t>
      </w:r>
      <w:r w:rsidR="00193D79" w:rsidRPr="00193D79">
        <w:rPr>
          <w:rFonts w:ascii="Times New Roman" w:hAnsi="Times New Roman" w:cs="Times New Roman"/>
        </w:rPr>
        <w:t xml:space="preserve"> wiedz</w:t>
      </w:r>
      <w:r w:rsidR="00193D79">
        <w:rPr>
          <w:rFonts w:ascii="Times New Roman" w:hAnsi="Times New Roman" w:cs="Times New Roman"/>
        </w:rPr>
        <w:t>y</w:t>
      </w:r>
      <w:r w:rsidR="00193D79" w:rsidRPr="00193D79">
        <w:rPr>
          <w:rFonts w:ascii="Times New Roman" w:hAnsi="Times New Roman" w:cs="Times New Roman"/>
        </w:rPr>
        <w:t xml:space="preserve"> o nieważności bądź abuzywności umowy</w:t>
      </w:r>
      <w:r w:rsidR="00193D79">
        <w:rPr>
          <w:rFonts w:ascii="Times New Roman" w:hAnsi="Times New Roman" w:cs="Times New Roman"/>
        </w:rPr>
        <w:t xml:space="preserve"> (podjęcia przez niego działań zmierzających do zakwestionowania umowy)</w:t>
      </w:r>
      <w:r w:rsidR="00193D79" w:rsidRPr="00193D79">
        <w:rPr>
          <w:rFonts w:ascii="Times New Roman" w:hAnsi="Times New Roman" w:cs="Times New Roman"/>
        </w:rPr>
        <w:t>.</w:t>
      </w:r>
      <w:r w:rsidR="00193D79">
        <w:rPr>
          <w:rFonts w:ascii="Times New Roman" w:hAnsi="Times New Roman" w:cs="Times New Roman"/>
        </w:rPr>
        <w:t xml:space="preserve"> Nawet gdyby takiego stanowiska nie było to wymagalność takie wierzytelności zaistniałaby na podstawie art. 91 prawa upadłościowego z chwilą ogłoszenia upadłości. </w:t>
      </w:r>
      <w:r w:rsidR="005C63AE">
        <w:rPr>
          <w:rFonts w:ascii="Times New Roman" w:hAnsi="Times New Roman" w:cs="Times New Roman"/>
        </w:rPr>
        <w:t>Można zatem przyjąć, że będą toczyły się w tym samym czasie dwa postępowania (rozpoznawane przez syndyka zgłoszenie wierzytelności i postępowanie o ustalenie nieważności umowy przez sąd), które będą miały w istocie ten sam zakres – w celu wpisu wierzytelności na listę syndyk musi samodzielnie rozstrzygnąć czy nieważność umowy będącej podstawą tej wierzytelności nastąpiła. Problem ten nie został obecnie rozstrzygnięty w judykaturze.</w:t>
      </w:r>
    </w:p>
    <w:sectPr w:rsidR="000761EF" w:rsidRPr="00AC6C4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EAA0" w14:textId="77777777" w:rsidR="00F760B1" w:rsidRDefault="00F760B1" w:rsidP="007770CF">
      <w:pPr>
        <w:spacing w:after="0" w:line="240" w:lineRule="auto"/>
      </w:pPr>
      <w:r>
        <w:separator/>
      </w:r>
    </w:p>
  </w:endnote>
  <w:endnote w:type="continuationSeparator" w:id="0">
    <w:p w14:paraId="5571A529" w14:textId="77777777" w:rsidR="00F760B1" w:rsidRDefault="00F760B1" w:rsidP="0077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4F3E" w14:textId="2E6C974F" w:rsidR="007770CF" w:rsidRDefault="007770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F58C24" wp14:editId="14584C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5530" cy="405765"/>
              <wp:effectExtent l="0" t="0" r="1270" b="0"/>
              <wp:wrapNone/>
              <wp:docPr id="631021027" name="Pole tekstowe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D46EB" w14:textId="05367B51" w:rsidR="007770CF" w:rsidRPr="007770CF" w:rsidRDefault="007770CF" w:rsidP="007770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770C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58C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" style="position:absolute;margin-left:0;margin-top:0;width:83.9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31D46EB" w14:textId="05367B51" w:rsidR="007770CF" w:rsidRPr="007770CF" w:rsidRDefault="007770CF" w:rsidP="007770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770CF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7CE" w14:textId="018DA7E7" w:rsidR="007770CF" w:rsidRDefault="007770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EF953" wp14:editId="59D0E1D3">
              <wp:simplePos x="89977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5530" cy="405765"/>
              <wp:effectExtent l="0" t="0" r="1270" b="0"/>
              <wp:wrapNone/>
              <wp:docPr id="1388864076" name="Pole tekstowe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6755F" w14:textId="3B119075" w:rsidR="007770CF" w:rsidRPr="007770CF" w:rsidRDefault="007770CF" w:rsidP="007770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770C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EF95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nfidential" style="position:absolute;margin-left:0;margin-top:0;width:83.9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uTEwIAACIEAAAOAAAAZHJzL2Uyb0RvYy54bWysU01v2zAMvQ/YfxB0X+xkddY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546755F" w14:textId="3B119075" w:rsidR="007770CF" w:rsidRPr="007770CF" w:rsidRDefault="007770CF" w:rsidP="007770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770CF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1C2F" w14:textId="3E62C99F" w:rsidR="007770CF" w:rsidRDefault="007770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DDB2E6" wp14:editId="385D39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5530" cy="405765"/>
              <wp:effectExtent l="0" t="0" r="1270" b="0"/>
              <wp:wrapNone/>
              <wp:docPr id="303923535" name="Pole tekstowe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F0929" w14:textId="5D7F45AE" w:rsidR="007770CF" w:rsidRPr="007770CF" w:rsidRDefault="007770CF" w:rsidP="007770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770C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DB2E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nfidential" style="position:absolute;margin-left:0;margin-top:0;width:83.9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kDgIAABsEAAAOAAAAZHJzL2Uyb0RvYy54bWysU8Fu2zAMvQ/YPwi6L3ayOuu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E2F0929" w14:textId="5D7F45AE" w:rsidR="007770CF" w:rsidRPr="007770CF" w:rsidRDefault="007770CF" w:rsidP="007770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770CF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1621" w14:textId="77777777" w:rsidR="00F760B1" w:rsidRDefault="00F760B1" w:rsidP="007770CF">
      <w:pPr>
        <w:spacing w:after="0" w:line="240" w:lineRule="auto"/>
      </w:pPr>
      <w:r>
        <w:separator/>
      </w:r>
    </w:p>
  </w:footnote>
  <w:footnote w:type="continuationSeparator" w:id="0">
    <w:p w14:paraId="6A227010" w14:textId="77777777" w:rsidR="00F760B1" w:rsidRDefault="00F760B1" w:rsidP="0077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AD2"/>
    <w:multiLevelType w:val="multilevel"/>
    <w:tmpl w:val="736C5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B1720"/>
    <w:multiLevelType w:val="multilevel"/>
    <w:tmpl w:val="A27C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54E68"/>
    <w:multiLevelType w:val="multilevel"/>
    <w:tmpl w:val="7DF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15471"/>
    <w:multiLevelType w:val="hybridMultilevel"/>
    <w:tmpl w:val="948430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A03AF"/>
    <w:multiLevelType w:val="multilevel"/>
    <w:tmpl w:val="DC5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D4B62"/>
    <w:multiLevelType w:val="hybridMultilevel"/>
    <w:tmpl w:val="58F874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45705"/>
    <w:multiLevelType w:val="multilevel"/>
    <w:tmpl w:val="5F2C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42E36"/>
    <w:multiLevelType w:val="multilevel"/>
    <w:tmpl w:val="F7A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B3BC8"/>
    <w:multiLevelType w:val="multilevel"/>
    <w:tmpl w:val="C3DEC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93859">
    <w:abstractNumId w:val="1"/>
  </w:num>
  <w:num w:numId="2" w16cid:durableId="1822893034">
    <w:abstractNumId w:val="7"/>
  </w:num>
  <w:num w:numId="3" w16cid:durableId="1647858661">
    <w:abstractNumId w:val="6"/>
  </w:num>
  <w:num w:numId="4" w16cid:durableId="344021233">
    <w:abstractNumId w:val="2"/>
  </w:num>
  <w:num w:numId="5" w16cid:durableId="840853162">
    <w:abstractNumId w:val="8"/>
  </w:num>
  <w:num w:numId="6" w16cid:durableId="1066954924">
    <w:abstractNumId w:val="0"/>
  </w:num>
  <w:num w:numId="7" w16cid:durableId="89202982">
    <w:abstractNumId w:val="4"/>
  </w:num>
  <w:num w:numId="8" w16cid:durableId="1293444770">
    <w:abstractNumId w:val="3"/>
  </w:num>
  <w:num w:numId="9" w16cid:durableId="202256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03"/>
    <w:rsid w:val="000761EF"/>
    <w:rsid w:val="00193D79"/>
    <w:rsid w:val="0019623B"/>
    <w:rsid w:val="002A28F1"/>
    <w:rsid w:val="002F6F48"/>
    <w:rsid w:val="005C63AE"/>
    <w:rsid w:val="007770CF"/>
    <w:rsid w:val="00844E69"/>
    <w:rsid w:val="00845D3D"/>
    <w:rsid w:val="008B60BA"/>
    <w:rsid w:val="00AC6C4D"/>
    <w:rsid w:val="00BD3C71"/>
    <w:rsid w:val="00D346F6"/>
    <w:rsid w:val="00E41503"/>
    <w:rsid w:val="00F7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E05D"/>
  <w15:chartTrackingRefBased/>
  <w15:docId w15:val="{6C39C82A-9452-42AE-8EDA-48FA31FE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5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5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5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5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5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1503"/>
    <w:pPr>
      <w:spacing w:after="0" w:line="240" w:lineRule="auto"/>
    </w:pPr>
    <w:rPr>
      <w:rFonts w:asciiTheme="majorHAnsi" w:hAnsiTheme="majorHAnsi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64b3f2-3bfb-4f53-8bd3-0d79b1859407}" enabled="1" method="Standard" siteId="{21942f3d-edf7-4805-9a5b-e03d208249c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4641</Characters>
  <Application>Microsoft Office Word</Application>
  <DocSecurity>0</DocSecurity>
  <Lines>82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Kocierz</dc:creator>
  <cp:keywords/>
  <dc:description/>
  <cp:lastModifiedBy>Jakub Płaziuk</cp:lastModifiedBy>
  <cp:revision>2</cp:revision>
  <dcterms:created xsi:type="dcterms:W3CDTF">2026-04-16T20:48:00Z</dcterms:created>
  <dcterms:modified xsi:type="dcterms:W3CDTF">2026-04-16T20:48:00Z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121d814f,259c9de3,52c8624c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Confidential</vt:lpwstr>
  </property>
</Properties>
</file>